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Fonts w:ascii="Karla" w:cs="Karla" w:eastAsia="Karla" w:hAnsi="Karla"/>
          <w:b w:val="1"/>
          <w:bCs w:val="1"/>
          <w:rtl w:val="0"/>
        </w:rPr>
        <w:t xml:space="preserve">Anualidad 2020:</w:t>
        <w:br w:type="textWrapping"/>
      </w:r>
      <w:r w:rsidDel="00000000" w:rsidR="00000000" w:rsidRPr="00000000">
        <w:rPr>
          <w:rFonts w:ascii="Karla" w:cs="Karla" w:eastAsia="Karla" w:hAnsi="Karla"/>
          <w:rtl w:val="0"/>
        </w:rPr>
        <w:t xml:space="preserve">No existen encomiendas de gestión (ni realizadas ni recibidas). La institución al no ser medio propio del Cabildo de Gran Canaria no recibe ninguna encomienda de gestión.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Fonts w:ascii="Karla" w:cs="Karla" w:eastAsia="Karla" w:hAnsi="Karla"/>
          <w:b w:val="1"/>
          <w:bCs w:val="1"/>
          <w:rtl w:val="0"/>
        </w:rPr>
        <w:t xml:space="preserve">Anualidad 2021: </w:t>
        <w:br w:type="textWrapping"/>
      </w:r>
      <w:r w:rsidDel="00000000" w:rsidR="00000000" w:rsidRPr="00000000">
        <w:rPr>
          <w:rFonts w:ascii="Karla" w:cs="Karla" w:eastAsia="Karla" w:hAnsi="Karla"/>
          <w:rtl w:val="0"/>
        </w:rPr>
        <w:t xml:space="preserve">No existen encomiendas de gestión (ni realizadas ni recibidas). La institución al no ser medio propio del Cabildo de Gran Canaria no recibe ninguna encomienda de gestión.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Fonts w:ascii="Karla" w:cs="Karla" w:eastAsia="Karla" w:hAnsi="Karla"/>
          <w:b w:val="1"/>
          <w:bCs w:val="1"/>
          <w:rtl w:val="0"/>
        </w:rPr>
        <w:t xml:space="preserve">Anualidad 2022: </w:t>
        <w:br w:type="textWrapping"/>
      </w:r>
      <w:r w:rsidDel="00000000" w:rsidR="00000000" w:rsidRPr="00000000">
        <w:rPr>
          <w:rFonts w:ascii="Karla" w:cs="Karla" w:eastAsia="Karla" w:hAnsi="Karla"/>
          <w:rtl w:val="0"/>
        </w:rPr>
        <w:t xml:space="preserve">No existen encomiendas de gestión (ni realizadas ni recibidas). La institución al no ser medio propio del Cabildo de Gran Canaria no recibe ninguna encomienda de gestión.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Fonts w:ascii="Karla" w:cs="Karla" w:eastAsia="Karla" w:hAnsi="Karla"/>
          <w:b w:val="1"/>
          <w:bCs w:val="1"/>
          <w:rtl w:val="0"/>
        </w:rPr>
        <w:t xml:space="preserve">Anualidad 2023: </w:t>
        <w:br w:type="textWrapping"/>
      </w:r>
      <w:r w:rsidDel="00000000" w:rsidR="00000000" w:rsidRPr="00000000">
        <w:rPr>
          <w:rFonts w:ascii="Karla" w:cs="Karla" w:eastAsia="Karla" w:hAnsi="Karla"/>
          <w:rtl w:val="0"/>
        </w:rPr>
        <w:t xml:space="preserve">No existen encomiendas de gestión (ni realizadas ni recibidas). La entidad no ha realizado encomiendas de gestión ni encargos a medios propios por importe superior a 5.000 €, IGIC excluido, en el periodo evaluado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Fonts w:ascii="Karla" w:cs="Karla" w:eastAsia="Karla" w:hAnsi="Karla"/>
          <w:b w:val="1"/>
          <w:bCs w:val="1"/>
          <w:rtl w:val="0"/>
        </w:rPr>
        <w:t xml:space="preserve">Anualidad 2024: </w:t>
        <w:br w:type="textWrapping"/>
      </w:r>
      <w:r w:rsidDel="00000000" w:rsidR="00000000" w:rsidRPr="00000000">
        <w:rPr>
          <w:rFonts w:ascii="Karla" w:cs="Karla" w:eastAsia="Karla" w:hAnsi="Karla"/>
          <w:rtl w:val="0"/>
        </w:rPr>
        <w:t xml:space="preserve">No existen encomiendas de gestión (ni realizadas ni recibidas). La entidad no ha realizado encomiendas de gestión ni encargos a medios propios por importe superior a 5.000 €, IGIC excluido, en el periodo evaluado</w:t>
        <w:br w:type="textWrapping"/>
        <w:br w:type="textWrapping"/>
      </w:r>
      <w:r w:rsidDel="00000000" w:rsidR="00000000" w:rsidRPr="00000000">
        <w:rPr>
          <w:rFonts w:ascii="Karla" w:cs="Karla" w:eastAsia="Karla" w:hAnsi="Karla"/>
          <w:b w:val="1"/>
          <w:bCs w:val="1"/>
          <w:rtl w:val="0"/>
        </w:rPr>
        <w:t xml:space="preserve">Anualidad 2025: </w:t>
        <w:br w:type="textWrapping"/>
      </w:r>
      <w:r w:rsidDel="00000000" w:rsidR="00000000" w:rsidRPr="00000000">
        <w:rPr>
          <w:rFonts w:ascii="Karla" w:cs="Karla" w:eastAsia="Karla" w:hAnsi="Karla"/>
          <w:rtl w:val="0"/>
        </w:rPr>
        <w:t xml:space="preserve">No existen encomiendas de gestión (ni realizadas ni recibidas). La entidad no ha realizado encomiendas de gestión ni encargos a medios propios por importe superior a 5.000 €, IGIC excluido, en el periodo evaluado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Karla" w:cs="Karla" w:eastAsia="Karla" w:hAnsi="Karla"/>
          <w:b w:val="1"/>
          <w:bCs w:val="1"/>
        </w:rPr>
      </w:pPr>
      <w:r w:rsidDel="00000000" w:rsidR="00000000" w:rsidRPr="00000000">
        <w:rPr>
          <w:rFonts w:ascii="Karla" w:cs="Karla" w:eastAsia="Karla" w:hAnsi="Karla"/>
          <w:b w:val="1"/>
          <w:bCs w:val="1"/>
          <w:rtl w:val="0"/>
        </w:rPr>
        <w:t xml:space="preserve">1174 Tarifas y precios fijados </w:t>
      </w:r>
    </w:p>
    <w:p w:rsidR="00000000" w:rsidDel="00000000" w:rsidP="00000000" w:rsidRDefault="00000000" w:rsidRPr="00000000" w14:paraId="00000009">
      <w:pPr>
        <w:rPr>
          <w:rFonts w:ascii="Karla" w:cs="Karla" w:eastAsia="Karla" w:hAnsi="Karl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Karla" w:cs="Karla" w:eastAsia="Karla" w:hAnsi="Karla"/>
          <w:b w:val="1"/>
          <w:bCs w:val="1"/>
        </w:rPr>
      </w:pPr>
      <w:r w:rsidDel="00000000" w:rsidR="00000000" w:rsidRPr="00000000">
        <w:rPr>
          <w:rFonts w:ascii="Karla" w:cs="Karla" w:eastAsia="Karla" w:hAnsi="Karla"/>
          <w:b w:val="1"/>
          <w:bCs w:val="1"/>
          <w:rtl w:val="0"/>
        </w:rPr>
        <w:t xml:space="preserve">Anualidad 2024 - 2025: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Karla" w:cs="Karla" w:eastAsia="Karla" w:hAnsi="Karla"/>
        </w:rPr>
      </w:pPr>
      <w:r w:rsidDel="00000000" w:rsidR="00000000" w:rsidRPr="00000000">
        <w:rPr>
          <w:rFonts w:ascii="Karla" w:cs="Karla" w:eastAsia="Karla" w:hAnsi="Karla"/>
          <w:rtl w:val="0"/>
        </w:rPr>
        <w:t xml:space="preserve">No existen encomiendas de gestión (ni realizadas ni recibidas). La institución al no ser medio propio del Cabildo de Gran Canaria no recibe ninguna encomienda de gestión y por tanto no existen tarifas ni precios fijados aplicables en el ejercicio 2025.</w:t>
      </w:r>
    </w:p>
    <w:p w:rsidR="00000000" w:rsidDel="00000000" w:rsidP="00000000" w:rsidRDefault="00000000" w:rsidRPr="00000000" w14:paraId="0000000C">
      <w:pPr>
        <w:rPr>
          <w:rFonts w:ascii="Karla" w:cs="Karla" w:eastAsia="Karla" w:hAnsi="Karl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Karla" w:cs="Karla" w:eastAsia="Karla" w:hAnsi="Kar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Karla" w:cs="Karla" w:eastAsia="Karla" w:hAnsi="Karla"/>
        </w:rPr>
      </w:pPr>
      <w:r w:rsidDel="00000000" w:rsidR="00000000" w:rsidRPr="00000000">
        <w:rPr>
          <w:rFonts w:ascii="Karla" w:cs="Karla" w:eastAsia="Karla" w:hAnsi="Karla"/>
          <w:rtl w:val="0"/>
        </w:rPr>
        <w:t xml:space="preserve">Fecha de actualización: 31/12/2025</w:t>
      </w:r>
    </w:p>
    <w:sectPr>
      <w:headerReference r:id="rId6" w:type="default"/>
      <w:footerReference r:id="rId7" w:type="default"/>
      <w:pgSz w:h="16838" w:w="11906" w:orient="portrait"/>
      <w:pgMar w:bottom="2268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  <w:font w:name="Karl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40.0" w:type="dxa"/>
      <w:jc w:val="left"/>
      <w:tblInd w:w="-216.0" w:type="dxa"/>
      <w:tblBorders>
        <w:top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4393"/>
      <w:gridCol w:w="5247"/>
      <w:tblGridChange w:id="0">
        <w:tblGrid>
          <w:gridCol w:w="4393"/>
          <w:gridCol w:w="5247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0" distT="0" distL="0" distR="0">
                <wp:extent cx="974725" cy="65087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725" cy="650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670" w:right="0" w:firstLine="670"/>
            <w:jc w:val="left"/>
            <w:rPr>
              <w:rFonts w:ascii="Karla" w:cs="Karla" w:eastAsia="Karla" w:hAnsi="Karl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</w:rPr>
          </w:pPr>
          <w:r w:rsidDel="00000000" w:rsidR="00000000" w:rsidRPr="00000000">
            <w:rPr>
              <w:rFonts w:ascii="Karla" w:cs="Karla" w:eastAsia="Karla" w:hAnsi="Karla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  <w:rtl w:val="0"/>
            </w:rPr>
            <w:t xml:space="preserve">Infecar. Institución Ferial de Canarias.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670" w:right="0" w:firstLine="670"/>
            <w:jc w:val="left"/>
            <w:rPr>
              <w:rFonts w:ascii="Karla" w:cs="Karla" w:eastAsia="Karla" w:hAnsi="Karl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</w:rPr>
          </w:pPr>
          <w:r w:rsidDel="00000000" w:rsidR="00000000" w:rsidRPr="00000000">
            <w:rPr>
              <w:rFonts w:ascii="Karla" w:cs="Karla" w:eastAsia="Karla" w:hAnsi="Karl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  <w:rtl w:val="0"/>
            </w:rPr>
            <w:t xml:space="preserve">Avenida de Feria Nº1. 35012 Las Palmas de Gran Canaria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670" w:right="0" w:firstLine="670"/>
            <w:jc w:val="left"/>
            <w:rPr>
              <w:rFonts w:ascii="Karla" w:cs="Karla" w:eastAsia="Karla" w:hAnsi="Karl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</w:rPr>
          </w:pPr>
          <w:r w:rsidDel="00000000" w:rsidR="00000000" w:rsidRPr="00000000">
            <w:rPr>
              <w:rFonts w:ascii="Karla" w:cs="Karla" w:eastAsia="Karla" w:hAnsi="Karl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  <w:rtl w:val="0"/>
            </w:rPr>
            <w:t xml:space="preserve">NIF: Q-3500398-G        Tel.: 828 01 02 03     Fax: 928 41 17 10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670" w:right="0" w:firstLine="670"/>
            <w:jc w:val="left"/>
            <w:rPr>
              <w:rFonts w:ascii="Karla" w:cs="Karla" w:eastAsia="Karla" w:hAnsi="Karl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</w:rPr>
          </w:pPr>
          <w:r w:rsidDel="00000000" w:rsidR="00000000" w:rsidRPr="00000000">
            <w:rPr>
              <w:rFonts w:ascii="Karla" w:cs="Karla" w:eastAsia="Karla" w:hAnsi="Karl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vertAlign w:val="baseline"/>
              <w:rtl w:val="0"/>
            </w:rPr>
            <w:t xml:space="preserve">info@infecar.es             www.infecar.es</w:t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Karla" w:cs="Karla" w:eastAsia="Karla" w:hAnsi="Karl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spacing w:after="0" w:before="0" w:line="276" w:lineRule="auto"/>
      <w:ind w:left="0" w:right="0" w:firstLine="0"/>
      <w:jc w:val="left"/>
      <w:rPr>
        <w:rFonts w:ascii="Karla" w:cs="Karla" w:eastAsia="Karla" w:hAnsi="Karla"/>
      </w:rPr>
    </w:pPr>
    <w:r w:rsidDel="00000000" w:rsidR="00000000" w:rsidRPr="00000000">
      <w:rPr>
        <w:rtl w:val="0"/>
      </w:rPr>
    </w:r>
  </w:p>
  <w:tbl>
    <w:tblPr>
      <w:tblStyle w:val="Table1"/>
      <w:tblW w:w="5719.0" w:type="dxa"/>
      <w:jc w:val="left"/>
      <w:tblInd w:w="-216.0" w:type="dxa"/>
      <w:tblLayout w:type="fixed"/>
      <w:tblLook w:val="0000"/>
    </w:tblPr>
    <w:tblGrid>
      <w:gridCol w:w="5719"/>
      <w:tblGridChange w:id="0">
        <w:tblGrid>
          <w:gridCol w:w="5719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0" distT="0" distL="0" distR="0">
                <wp:extent cx="1941195" cy="74485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195" cy="7448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ab/>
      <w:tab/>
      <w:tab/>
      <w:tab/>
      <w:tab/>
      <w:t xml:space="preserve">           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both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60" w:right="0" w:firstLine="0"/>
      <w:jc w:val="both"/>
    </w:pPr>
    <w:rPr>
      <w:rFonts w:ascii="Bookman Old Style" w:cs="Bookman Old Style" w:eastAsia="Bookman Old Style" w:hAnsi="Bookman Old Style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rla-regular.ttf"/><Relationship Id="rId2" Type="http://schemas.openxmlformats.org/officeDocument/2006/relationships/font" Target="fonts/Karla-bold.ttf"/><Relationship Id="rId3" Type="http://schemas.openxmlformats.org/officeDocument/2006/relationships/font" Target="fonts/Karla-italic.ttf"/><Relationship Id="rId4" Type="http://schemas.openxmlformats.org/officeDocument/2006/relationships/font" Target="fonts/Karl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